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0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9"/>
        <w:gridCol w:w="3690"/>
        <w:tblGridChange w:id="0">
          <w:tblGrid>
            <w:gridCol w:w="5339"/>
            <w:gridCol w:w="3690"/>
          </w:tblGrid>
        </w:tblGridChange>
      </w:tblGrid>
      <w:tr>
        <w:trPr>
          <w:cantSplit w:val="0"/>
          <w:trHeight w:val="3026.8359375" w:hRule="atLeast"/>
          <w:tblHeader w:val="0"/>
        </w:trPr>
        <w:tc>
          <w:tcPr>
            <w:tcBorders>
              <w:left w:color="000000" w:space="0" w:sz="0" w:val="nil"/>
            </w:tcBorders>
          </w:tcPr>
          <w:p w:rsidR="00000000" w:rsidDel="00000000" w:rsidP="00000000" w:rsidRDefault="00000000" w:rsidRPr="00000000" w14:paraId="00000002">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w:t>
            </w:r>
          </w:p>
          <w:p w:rsidR="00000000" w:rsidDel="00000000" w:rsidP="00000000" w:rsidRDefault="00000000" w:rsidRPr="00000000" w14:paraId="00000003">
            <w:pPr>
              <w:widowControl w:val="0"/>
              <w:spacing w:after="240" w:before="120" w:lin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THE FINANCIAL OVERSIGHT AND </w:t>
              <w:br w:type="textWrapping"/>
              <w:t xml:space="preserve">MANAGEMENT BOARD FOR PUERTO RICO,</w:t>
            </w:r>
          </w:p>
          <w:p w:rsidR="00000000" w:rsidDel="00000000" w:rsidP="00000000" w:rsidRDefault="00000000" w:rsidRPr="00000000" w14:paraId="00000004">
            <w:pPr>
              <w:widowControl w:val="0"/>
              <w:spacing w:after="24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representative of</w:t>
            </w:r>
          </w:p>
          <w:p w:rsidR="00000000" w:rsidDel="00000000" w:rsidP="00000000" w:rsidRDefault="00000000" w:rsidRPr="00000000" w14:paraId="00000005">
            <w:pPr>
              <w:widowControl w:val="0"/>
              <w:spacing w:after="240" w:before="120" w:line="240" w:lineRule="auto"/>
              <w:rPr>
                <w:rFonts w:ascii="Times New Roman" w:cs="Times New Roman" w:eastAsia="Times New Roman" w:hAnsi="Times New Roman"/>
                <w:i w:val="1"/>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THE COMMONWEALTH OF PUERTO RICO,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tl w:val="0"/>
              </w:rPr>
            </w:r>
          </w:p>
          <w:p w:rsidR="00000000" w:rsidDel="00000000" w:rsidP="00000000" w:rsidRDefault="00000000" w:rsidRPr="00000000" w14:paraId="00000006">
            <w:pPr>
              <w:widowControl w:val="0"/>
              <w:spacing w:after="120" w:before="120" w:line="24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Debtors.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07">
            <w:pPr>
              <w:widowControl w:val="0"/>
              <w:spacing w:after="7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PROMESA</w:t>
              <w:br w:type="textWrapping"/>
              <w:t xml:space="preserve">Title III</w:t>
              <w:br w:type="textWrapping"/>
            </w:r>
          </w:p>
          <w:p w:rsidR="00000000" w:rsidDel="00000000" w:rsidP="00000000" w:rsidRDefault="00000000" w:rsidRPr="00000000" w14:paraId="00000008">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No. 17 BK 3283-LTS</w:t>
              <w:br w:type="textWrapping"/>
              <w:t xml:space="preserve">(Jointly Administered)</w:t>
            </w:r>
          </w:p>
        </w:tc>
      </w:tr>
      <w:tr>
        <w:trPr>
          <w:cantSplit w:val="0"/>
          <w:tblHeader w:val="0"/>
        </w:trPr>
        <w:tc>
          <w:tcPr>
            <w:tcBorders>
              <w:left w:color="000000" w:space="0" w:sz="0" w:val="nil"/>
            </w:tcBorders>
          </w:tcPr>
          <w:p w:rsidR="00000000" w:rsidDel="00000000" w:rsidP="00000000" w:rsidRDefault="00000000" w:rsidRPr="00000000" w14:paraId="00000009">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w:t>
            </w:r>
          </w:p>
          <w:p w:rsidR="00000000" w:rsidDel="00000000" w:rsidP="00000000" w:rsidRDefault="00000000" w:rsidRPr="00000000" w14:paraId="0000000A">
            <w:pPr>
              <w:widowControl w:val="0"/>
              <w:spacing w:after="24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OVERSIGHT AND </w:t>
            </w:r>
            <w:r w:rsidDel="00000000" w:rsidR="00000000" w:rsidRPr="00000000">
              <w:rPr>
                <w:rFonts w:ascii="Times New Roman" w:cs="Times New Roman" w:eastAsia="Times New Roman" w:hAnsi="Times New Roman"/>
                <w:smallCaps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MANAGEMENT BOARD FOR PUERTO RICO</w:t>
            </w:r>
          </w:p>
          <w:p w:rsidR="00000000" w:rsidDel="00000000" w:rsidP="00000000" w:rsidRDefault="00000000" w:rsidRPr="00000000" w14:paraId="0000000B">
            <w:pPr>
              <w:widowControl w:val="0"/>
              <w:spacing w:after="24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representative of</w:t>
            </w:r>
          </w:p>
          <w:p w:rsidR="00000000" w:rsidDel="00000000" w:rsidP="00000000" w:rsidRDefault="00000000" w:rsidRPr="00000000" w14:paraId="0000000C">
            <w:pPr>
              <w:widowControl w:val="0"/>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PUERTO RICO ELECTRIC POWER AUTHORITY,</w:t>
            </w:r>
          </w:p>
          <w:p w:rsidR="00000000" w:rsidDel="00000000" w:rsidP="00000000" w:rsidRDefault="00000000" w:rsidRPr="00000000" w14:paraId="0000000D">
            <w:pPr>
              <w:widowControl w:val="0"/>
              <w:spacing w:after="120" w:before="120" w:line="24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Debtor.</w:t>
            </w:r>
          </w:p>
        </w:tc>
        <w:tc>
          <w:tcPr>
            <w:tcBorders>
              <w:top w:color="000000" w:space="0" w:sz="0" w:val="nil"/>
              <w:bottom w:color="000000" w:space="0" w:sz="0" w:val="nil"/>
              <w:right w:color="000000" w:space="0" w:sz="0" w:val="nil"/>
            </w:tcBorders>
          </w:tcPr>
          <w:p w:rsidR="00000000" w:rsidDel="00000000" w:rsidP="00000000" w:rsidRDefault="00000000" w:rsidRPr="00000000" w14:paraId="0000000E">
            <w:pPr>
              <w:widowControl w:val="0"/>
              <w:spacing w:after="7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PROMESA</w:t>
              <w:br w:type="textWrapping"/>
              <w:t xml:space="preserve">Title III</w:t>
            </w:r>
          </w:p>
          <w:p w:rsidR="00000000" w:rsidDel="00000000" w:rsidP="00000000" w:rsidRDefault="00000000" w:rsidRPr="00000000" w14:paraId="0000000F">
            <w:pPr>
              <w:widowControl w:val="0"/>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No. 17 BK 4780-LTS</w:t>
            </w:r>
          </w:p>
        </w:tc>
      </w:tr>
    </w:tbl>
    <w:p w:rsidR="00000000" w:rsidDel="00000000" w:rsidP="00000000" w:rsidRDefault="00000000" w:rsidRPr="00000000" w14:paraId="00000010">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FULL NAME</w:t>
      </w:r>
      <w:r w:rsidDel="00000000" w:rsidR="00000000" w:rsidRPr="00000000">
        <w:rPr>
          <w:rFonts w:ascii="Times New Roman" w:cs="Times New Roman" w:eastAsia="Times New Roman" w:hAnsi="Times New Roman"/>
          <w:b w:val="1"/>
          <w:sz w:val="24"/>
          <w:szCs w:val="24"/>
          <w:rtl w:val="0"/>
        </w:rPr>
        <w:t xml:space="preserve"> OBJECTION TO THE CONFIRMATION OF THE PUERTO RICO ELECTRIC POWER AUTHORITY’S PLAN OF ADJUSTMENT  </w:t>
      </w:r>
    </w:p>
    <w:p w:rsidR="00000000" w:rsidDel="00000000" w:rsidP="00000000" w:rsidRDefault="00000000" w:rsidRPr="00000000" w14:paraId="00000015">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[Space intentionally left blank]</w:t>
      </w:r>
    </w:p>
    <w:p w:rsidR="00000000" w:rsidDel="00000000" w:rsidP="00000000" w:rsidRDefault="00000000" w:rsidRPr="00000000" w14:paraId="00000019">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widowControl w:val="0"/>
        <w:spacing w:line="240" w:lineRule="auto"/>
        <w:ind w:firstLine="72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widowControl w:val="0"/>
        <w:spacing w:line="480" w:lineRule="auto"/>
        <w:ind w:left="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THE HONORABLE DISTRICT COURT FOR THE DISTRICT OF PUERTO RICO</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COMES NOW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as party in interest pursuant to 11 U.S.C. § 1109, appearing </w:t>
      </w:r>
      <w:r w:rsidDel="00000000" w:rsidR="00000000" w:rsidRPr="00000000">
        <w:rPr>
          <w:rFonts w:ascii="Times New Roman" w:cs="Times New Roman" w:eastAsia="Times New Roman" w:hAnsi="Times New Roman"/>
          <w:i w:val="1"/>
          <w:sz w:val="24"/>
          <w:szCs w:val="24"/>
          <w:rtl w:val="0"/>
        </w:rPr>
        <w:t xml:space="preserve">pro se</w:t>
      </w:r>
      <w:r w:rsidDel="00000000" w:rsidR="00000000" w:rsidRPr="00000000">
        <w:rPr>
          <w:rFonts w:ascii="Times New Roman" w:cs="Times New Roman" w:eastAsia="Times New Roman" w:hAnsi="Times New Roman"/>
          <w:sz w:val="24"/>
          <w:szCs w:val="24"/>
          <w:rtl w:val="0"/>
        </w:rPr>
        <w:t xml:space="preserve"> pursuant to 28 U.S.C. § 1654, and respectfully requests that the Court deny the confirmation of the </w:t>
      </w:r>
      <w:r w:rsidDel="00000000" w:rsidR="00000000" w:rsidRPr="00000000">
        <w:rPr>
          <w:rFonts w:ascii="Times New Roman" w:cs="Times New Roman" w:eastAsia="Times New Roman" w:hAnsi="Times New Roman"/>
          <w:i w:val="1"/>
          <w:sz w:val="24"/>
          <w:szCs w:val="24"/>
          <w:rtl w:val="0"/>
        </w:rPr>
        <w:t xml:space="preserve">Fifth Modified Third Amended Title III Plan of Adjustment of the Puerto Rico Electric Power Authority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ECF No. 4170, (“Plan of Adjustment”).</w:t>
      </w:r>
    </w:p>
    <w:p w:rsidR="00000000" w:rsidDel="00000000" w:rsidP="00000000" w:rsidRDefault="00000000" w:rsidRPr="00000000" w14:paraId="00000020">
      <w:pPr>
        <w:pStyle w:val="Heading1"/>
        <w:keepLines w:val="0"/>
        <w:widowControl w:val="0"/>
        <w:spacing w:after="0" w:before="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PRELIMINARY STATEMENT</w:t>
      </w:r>
    </w:p>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Juan Del Pueblo</w:t>
      </w:r>
      <w:r w:rsidDel="00000000" w:rsidR="00000000" w:rsidRPr="00000000">
        <w:rPr>
          <w:rFonts w:ascii="Times New Roman" w:cs="Times New Roman" w:eastAsia="Times New Roman" w:hAnsi="Times New Roman"/>
          <w:sz w:val="24"/>
          <w:szCs w:val="24"/>
          <w:rtl w:val="0"/>
        </w:rPr>
        <w:t xml:space="preserve"> is a party in interest in the Puerto Rico Electric Power Authority’s (“PREPA”) Title III Bankruptcy.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11 U.S.C. </w:t>
      </w:r>
      <w:r w:rsidDel="00000000" w:rsidR="00000000" w:rsidRPr="00000000">
        <w:rPr>
          <w:rFonts w:ascii="Times New Roman" w:cs="Times New Roman" w:eastAsia="Times New Roman" w:hAnsi="Times New Roman"/>
          <w:sz w:val="24"/>
          <w:szCs w:val="24"/>
          <w:rtl w:val="0"/>
        </w:rPr>
        <w:t xml:space="preserve">§ 1109(b).</w:t>
      </w:r>
    </w:p>
    <w:p w:rsidR="00000000" w:rsidDel="00000000" w:rsidP="00000000" w:rsidRDefault="00000000" w:rsidRPr="00000000" w14:paraId="00000023">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is</w:t>
      </w:r>
      <w:r w:rsidDel="00000000" w:rsidR="00000000" w:rsidRPr="00000000">
        <w:rPr>
          <w:rFonts w:ascii="Times New Roman" w:cs="Times New Roman" w:eastAsia="Times New Roman" w:hAnsi="Times New Roman"/>
          <w:sz w:val="24"/>
          <w:szCs w:val="24"/>
          <w:rtl w:val="0"/>
        </w:rPr>
        <w:t xml:space="preserve"> a resident of</w:t>
      </w:r>
      <w:r w:rsidDel="00000000" w:rsidR="00000000" w:rsidRPr="00000000">
        <w:rPr>
          <w:rFonts w:ascii="Times New Roman" w:cs="Times New Roman" w:eastAsia="Times New Roman" w:hAnsi="Times New Roman"/>
          <w:sz w:val="24"/>
          <w:szCs w:val="24"/>
          <w:highlight w:val="green"/>
          <w:rtl w:val="0"/>
        </w:rPr>
        <w:t xml:space="preserve"> Municipality,</w:t>
      </w:r>
      <w:r w:rsidDel="00000000" w:rsidR="00000000" w:rsidRPr="00000000">
        <w:rPr>
          <w:rFonts w:ascii="Times New Roman" w:cs="Times New Roman" w:eastAsia="Times New Roman" w:hAnsi="Times New Roman"/>
          <w:sz w:val="24"/>
          <w:szCs w:val="24"/>
          <w:rtl w:val="0"/>
        </w:rPr>
        <w:t xml:space="preserve"> Puerto Rico.</w:t>
      </w:r>
    </w:p>
    <w:p w:rsidR="00000000" w:rsidDel="00000000" w:rsidP="00000000" w:rsidRDefault="00000000" w:rsidRPr="00000000" w14:paraId="00000024">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He/She </w:t>
      </w:r>
      <w:r w:rsidDel="00000000" w:rsidR="00000000" w:rsidRPr="00000000">
        <w:rPr>
          <w:rFonts w:ascii="Times New Roman" w:cs="Times New Roman" w:eastAsia="Times New Roman" w:hAnsi="Times New Roman"/>
          <w:sz w:val="24"/>
          <w:szCs w:val="24"/>
          <w:rtl w:val="0"/>
        </w:rPr>
        <w:t xml:space="preserve">is </w:t>
      </w:r>
      <w:r w:rsidDel="00000000" w:rsidR="00000000" w:rsidRPr="00000000">
        <w:rPr>
          <w:rFonts w:ascii="Times New Roman" w:cs="Times New Roman" w:eastAsia="Times New Roman" w:hAnsi="Times New Roman"/>
          <w:sz w:val="24"/>
          <w:szCs w:val="24"/>
          <w:highlight w:val="green"/>
          <w:rtl w:val="0"/>
        </w:rPr>
        <w:t xml:space="preserve">___</w:t>
      </w:r>
      <w:r w:rsidDel="00000000" w:rsidR="00000000" w:rsidRPr="00000000">
        <w:rPr>
          <w:rFonts w:ascii="Times New Roman" w:cs="Times New Roman" w:eastAsia="Times New Roman" w:hAnsi="Times New Roman"/>
          <w:sz w:val="24"/>
          <w:szCs w:val="24"/>
          <w:rtl w:val="0"/>
        </w:rPr>
        <w:t xml:space="preserve"> years old and lives in a household of</w:t>
      </w:r>
      <w:r w:rsidDel="00000000" w:rsidR="00000000" w:rsidRPr="00000000">
        <w:rPr>
          <w:rFonts w:ascii="Times New Roman" w:cs="Times New Roman" w:eastAsia="Times New Roman" w:hAnsi="Times New Roman"/>
          <w:sz w:val="24"/>
          <w:szCs w:val="24"/>
          <w:highlight w:val="green"/>
          <w:rtl w:val="0"/>
        </w:rPr>
        <w:t xml:space="preserve"> ___ </w:t>
      </w:r>
      <w:r w:rsidDel="00000000" w:rsidR="00000000" w:rsidRPr="00000000">
        <w:rPr>
          <w:rFonts w:ascii="Times New Roman" w:cs="Times New Roman" w:eastAsia="Times New Roman" w:hAnsi="Times New Roman"/>
          <w:sz w:val="24"/>
          <w:szCs w:val="24"/>
          <w:rtl w:val="0"/>
        </w:rPr>
        <w:t xml:space="preserve">people. These include </w:t>
      </w:r>
      <w:r w:rsidDel="00000000" w:rsidR="00000000" w:rsidRPr="00000000">
        <w:rPr>
          <w:rFonts w:ascii="Times New Roman" w:cs="Times New Roman" w:eastAsia="Times New Roman" w:hAnsi="Times New Roman"/>
          <w:sz w:val="24"/>
          <w:szCs w:val="24"/>
          <w:highlight w:val="green"/>
          <w:rtl w:val="0"/>
        </w:rPr>
        <w:t xml:space="preserve">INSERT NAMES AND AGES OF MEMBERS OF FAMILY, AND THEIR RELATIONSHIP TO YOU</w:t>
      </w:r>
      <w:r w:rsidDel="00000000" w:rsidR="00000000" w:rsidRPr="00000000">
        <w:rPr>
          <w:rFonts w:ascii="Times New Roman" w:cs="Times New Roman" w:eastAsia="Times New Roman" w:hAnsi="Times New Roman"/>
          <w:sz w:val="24"/>
          <w:szCs w:val="24"/>
          <w:highlight w:val="green"/>
          <w:rtl w:val="0"/>
        </w:rPr>
        <w:t xml:space="preserve">.</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NAME's</w:t>
      </w:r>
      <w:r w:rsidDel="00000000" w:rsidR="00000000" w:rsidRPr="00000000">
        <w:rPr>
          <w:rFonts w:ascii="Times New Roman" w:cs="Times New Roman" w:eastAsia="Times New Roman" w:hAnsi="Times New Roman"/>
          <w:sz w:val="24"/>
          <w:szCs w:val="24"/>
          <w:rtl w:val="0"/>
        </w:rPr>
        <w:t xml:space="preserve"> household, like that of most residents of Puerto Rico, does not enjoy a stable and basic access to energy. </w:t>
      </w:r>
      <w:r w:rsidDel="00000000" w:rsidR="00000000" w:rsidRPr="00000000">
        <w:rPr>
          <w:rFonts w:ascii="Times New Roman" w:cs="Times New Roman" w:eastAsia="Times New Roman" w:hAnsi="Times New Roman"/>
          <w:sz w:val="24"/>
          <w:szCs w:val="24"/>
          <w:highlight w:val="green"/>
          <w:rtl w:val="0"/>
        </w:rPr>
        <w:t xml:space="preserve">He/She </w:t>
      </w:r>
      <w:r w:rsidDel="00000000" w:rsidR="00000000" w:rsidRPr="00000000">
        <w:rPr>
          <w:rFonts w:ascii="Times New Roman" w:cs="Times New Roman" w:eastAsia="Times New Roman" w:hAnsi="Times New Roman"/>
          <w:sz w:val="24"/>
          <w:szCs w:val="24"/>
          <w:rtl w:val="0"/>
        </w:rPr>
        <w:t xml:space="preserve">loses power in his home at least </w:t>
      </w:r>
      <w:r w:rsidDel="00000000" w:rsidR="00000000" w:rsidRPr="00000000">
        <w:rPr>
          <w:rFonts w:ascii="Times New Roman" w:cs="Times New Roman" w:eastAsia="Times New Roman" w:hAnsi="Times New Roman"/>
          <w:sz w:val="24"/>
          <w:szCs w:val="24"/>
          <w:highlight w:val="green"/>
          <w:rtl w:val="0"/>
        </w:rPr>
        <w:t xml:space="preserve">#</w:t>
      </w:r>
      <w:r w:rsidDel="00000000" w:rsidR="00000000" w:rsidRPr="00000000">
        <w:rPr>
          <w:rFonts w:ascii="Times New Roman" w:cs="Times New Roman" w:eastAsia="Times New Roman" w:hAnsi="Times New Roman"/>
          <w:sz w:val="24"/>
          <w:szCs w:val="24"/>
          <w:rtl w:val="0"/>
        </w:rPr>
        <w:t xml:space="preserve"> times a week. This trend of power outages has only been increasing during the past months and years.</w:t>
      </w:r>
    </w:p>
    <w:p w:rsidR="00000000" w:rsidDel="00000000" w:rsidP="00000000" w:rsidRDefault="00000000" w:rsidRPr="00000000" w14:paraId="00000026">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 </w:t>
      </w:r>
      <w:r w:rsidDel="00000000" w:rsidR="00000000" w:rsidRPr="00000000">
        <w:rPr>
          <w:rFonts w:ascii="Times New Roman" w:cs="Times New Roman" w:eastAsia="Times New Roman" w:hAnsi="Times New Roman"/>
          <w:sz w:val="24"/>
          <w:szCs w:val="24"/>
          <w:rtl w:val="0"/>
        </w:rPr>
        <w:t xml:space="preserve">works as</w:t>
      </w:r>
      <w:r w:rsidDel="00000000" w:rsidR="00000000" w:rsidRPr="00000000">
        <w:rPr>
          <w:rFonts w:ascii="Times New Roman" w:cs="Times New Roman" w:eastAsia="Times New Roman" w:hAnsi="Times New Roman"/>
          <w:sz w:val="24"/>
          <w:szCs w:val="24"/>
          <w:highlight w:val="green"/>
          <w:rtl w:val="0"/>
        </w:rPr>
        <w:t xml:space="preserve"> job title/profession.  INCLUDE OTHER RELEVANT DETAILS ABOUT THEIR WORK: HOW LONG YOU HAVE DONE THIS WORK, ETC.</w:t>
      </w:r>
    </w:p>
    <w:p w:rsidR="00000000" w:rsidDel="00000000" w:rsidP="00000000" w:rsidRDefault="00000000" w:rsidRPr="00000000" w14:paraId="00000027">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 </w:t>
      </w:r>
      <w:r w:rsidDel="00000000" w:rsidR="00000000" w:rsidRPr="00000000">
        <w:rPr>
          <w:rFonts w:ascii="Times New Roman" w:cs="Times New Roman" w:eastAsia="Times New Roman" w:hAnsi="Times New Roman"/>
          <w:sz w:val="24"/>
          <w:szCs w:val="24"/>
          <w:rtl w:val="0"/>
        </w:rPr>
        <w:t xml:space="preserve">pays </w:t>
      </w:r>
      <w:r w:rsidDel="00000000" w:rsidR="00000000" w:rsidRPr="00000000">
        <w:rPr>
          <w:rFonts w:ascii="Times New Roman" w:cs="Times New Roman" w:eastAsia="Times New Roman" w:hAnsi="Times New Roman"/>
          <w:sz w:val="24"/>
          <w:szCs w:val="24"/>
          <w:highlight w:val="green"/>
          <w:rtl w:val="0"/>
        </w:rPr>
        <w:t xml:space="preserve">$ ___/</w:t>
      </w:r>
      <w:r w:rsidDel="00000000" w:rsidR="00000000" w:rsidRPr="00000000">
        <w:rPr>
          <w:rFonts w:ascii="Times New Roman" w:cs="Times New Roman" w:eastAsia="Times New Roman" w:hAnsi="Times New Roman"/>
          <w:sz w:val="24"/>
          <w:szCs w:val="24"/>
          <w:rtl w:val="0"/>
        </w:rPr>
        <w:t xml:space="preserve">month of electricity for</w:t>
      </w:r>
      <w:r w:rsidDel="00000000" w:rsidR="00000000" w:rsidRPr="00000000">
        <w:rPr>
          <w:rFonts w:ascii="Times New Roman" w:cs="Times New Roman" w:eastAsia="Times New Roman" w:hAnsi="Times New Roman"/>
          <w:sz w:val="24"/>
          <w:szCs w:val="24"/>
          <w:highlight w:val="green"/>
          <w:rtl w:val="0"/>
        </w:rPr>
        <w:t xml:space="preserve"> his/her </w:t>
      </w:r>
      <w:r w:rsidDel="00000000" w:rsidR="00000000" w:rsidRPr="00000000">
        <w:rPr>
          <w:rFonts w:ascii="Times New Roman" w:cs="Times New Roman" w:eastAsia="Times New Roman" w:hAnsi="Times New Roman"/>
          <w:sz w:val="24"/>
          <w:szCs w:val="24"/>
          <w:rtl w:val="0"/>
        </w:rPr>
        <w:t xml:space="preserve">household. </w:t>
      </w:r>
      <w:r w:rsidDel="00000000" w:rsidR="00000000" w:rsidRPr="00000000">
        <w:rPr>
          <w:rFonts w:ascii="Times New Roman" w:cs="Times New Roman" w:eastAsia="Times New Roman" w:hAnsi="Times New Roman"/>
          <w:sz w:val="24"/>
          <w:szCs w:val="24"/>
          <w:highlight w:val="green"/>
          <w:rtl w:val="0"/>
        </w:rPr>
        <w:t xml:space="preserve">INCLUDE OTHER ELECTRICITY PAYMENTS, IF APPLICABLE.</w:t>
      </w:r>
    </w:p>
    <w:p w:rsidR="00000000" w:rsidDel="00000000" w:rsidP="00000000" w:rsidRDefault="00000000" w:rsidRPr="00000000" w14:paraId="00000028">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INCLUDE OTHER </w:t>
      </w:r>
      <w:r w:rsidDel="00000000" w:rsidR="00000000" w:rsidRPr="00000000">
        <w:rPr>
          <w:rFonts w:ascii="Times New Roman" w:cs="Times New Roman" w:eastAsia="Times New Roman" w:hAnsi="Times New Roman"/>
          <w:sz w:val="24"/>
          <w:szCs w:val="24"/>
          <w:highlight w:val="green"/>
          <w:u w:val="single"/>
          <w:rtl w:val="0"/>
        </w:rPr>
        <w:t xml:space="preserve">FACTUAL</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sz w:val="24"/>
          <w:szCs w:val="24"/>
          <w:highlight w:val="green"/>
          <w:rtl w:val="0"/>
        </w:rPr>
        <w:t xml:space="preserve">DETAILS ABOUT HEALTH (PERSONAL OR A FAMILY MEMBERS'), LIVING EXPENSES, ETC.</w:t>
      </w:r>
      <w:r w:rsidDel="00000000" w:rsidR="00000000" w:rsidRPr="00000000">
        <w:rPr>
          <w:rtl w:val="0"/>
        </w:rPr>
      </w:r>
    </w:p>
    <w:p w:rsidR="00000000" w:rsidDel="00000000" w:rsidP="00000000" w:rsidRDefault="00000000" w:rsidRPr="00000000" w14:paraId="00000029">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of who is a “party in interest” should be answered on a case-by-case basis. The definition is non-exhaustive. It generally refers to anyone with a financial stake or significant legal or practical stake in the outcome of bankruptcy. </w:t>
      </w:r>
      <w:r w:rsidDel="00000000" w:rsidR="00000000" w:rsidRPr="00000000">
        <w:rPr>
          <w:rFonts w:ascii="Times New Roman" w:cs="Times New Roman" w:eastAsia="Times New Roman" w:hAnsi="Times New Roman"/>
          <w:i w:val="1"/>
          <w:sz w:val="24"/>
          <w:szCs w:val="24"/>
          <w:rtl w:val="0"/>
        </w:rPr>
        <w:t xml:space="preserve">See, e.g., </w:t>
      </w:r>
      <w:r w:rsidDel="00000000" w:rsidR="00000000" w:rsidRPr="00000000">
        <w:rPr>
          <w:rFonts w:ascii="Times New Roman" w:cs="Times New Roman" w:eastAsia="Times New Roman" w:hAnsi="Times New Roman"/>
          <w:i w:val="1"/>
          <w:sz w:val="24"/>
          <w:szCs w:val="24"/>
          <w:highlight w:val="white"/>
          <w:rtl w:val="0"/>
        </w:rPr>
        <w:t xml:space="preserve">Savage &amp; Assocs. P.C. v. K&amp;L Gates LLP (In re Teligent, Inc.)</w:t>
      </w:r>
      <w:r w:rsidDel="00000000" w:rsidR="00000000" w:rsidRPr="00000000">
        <w:rPr>
          <w:rFonts w:ascii="Times New Roman" w:cs="Times New Roman" w:eastAsia="Times New Roman" w:hAnsi="Times New Roman"/>
          <w:sz w:val="24"/>
          <w:szCs w:val="24"/>
          <w:highlight w:val="white"/>
          <w:rtl w:val="0"/>
        </w:rPr>
        <w:t xml:space="preserve">, 640 F.3d 53 (2d Cir. 2011).</w:t>
      </w:r>
      <w:r w:rsidDel="00000000" w:rsidR="00000000" w:rsidRPr="00000000">
        <w:rPr>
          <w:rFonts w:ascii="Times New Roman" w:cs="Times New Roman" w:eastAsia="Times New Roman" w:hAnsi="Times New Roman"/>
          <w:sz w:val="24"/>
          <w:szCs w:val="24"/>
          <w:rtl w:val="0"/>
        </w:rPr>
        <w:t xml:space="preserve"> That should mean anyone who will be significantly impacted; </w:t>
      </w:r>
      <w:r w:rsidDel="00000000" w:rsidR="00000000" w:rsidRPr="00000000">
        <w:rPr>
          <w:rFonts w:ascii="Times New Roman" w:cs="Times New Roman" w:eastAsia="Times New Roman" w:hAnsi="Times New Roman"/>
          <w:i w:val="1"/>
          <w:sz w:val="24"/>
          <w:szCs w:val="24"/>
          <w:rtl w:val="0"/>
        </w:rPr>
        <w:t xml:space="preserve">see </w:t>
      </w:r>
      <w:r w:rsidDel="00000000" w:rsidR="00000000" w:rsidRPr="00000000">
        <w:rPr>
          <w:rFonts w:ascii="Times New Roman" w:cs="Times New Roman" w:eastAsia="Times New Roman" w:hAnsi="Times New Roman"/>
          <w:i w:val="1"/>
          <w:sz w:val="24"/>
          <w:szCs w:val="24"/>
          <w:rtl w:val="0"/>
        </w:rPr>
        <w:t xml:space="preserve">also, Alan Resnick &amp; Henry J. Sommer, Collier on Bankruptcy</w:t>
      </w:r>
      <w:r w:rsidDel="00000000" w:rsidR="00000000" w:rsidRPr="00000000">
        <w:rPr>
          <w:rFonts w:ascii="Times New Roman" w:cs="Times New Roman" w:eastAsia="Times New Roman" w:hAnsi="Times New Roman"/>
          <w:sz w:val="24"/>
          <w:szCs w:val="24"/>
          <w:rtl w:val="0"/>
        </w:rPr>
        <w:t xml:space="preserve"> ¶ 1109.01 (16th ed. 2011) (“The general theory behind the section [1</w:t>
      </w:r>
      <w:r w:rsidDel="00000000" w:rsidR="00000000" w:rsidRPr="00000000">
        <w:rPr>
          <w:rFonts w:ascii="Times New Roman" w:cs="Times New Roman" w:eastAsia="Times New Roman" w:hAnsi="Times New Roman"/>
          <w:color w:val="333333"/>
          <w:sz w:val="24"/>
          <w:szCs w:val="24"/>
          <w:rtl w:val="0"/>
        </w:rPr>
        <w:t xml:space="preserve">1 U.S.C. </w:t>
      </w:r>
      <w:r w:rsidDel="00000000" w:rsidR="00000000" w:rsidRPr="00000000">
        <w:rPr>
          <w:rFonts w:ascii="Times New Roman" w:cs="Times New Roman" w:eastAsia="Times New Roman" w:hAnsi="Times New Roman"/>
          <w:sz w:val="24"/>
          <w:szCs w:val="24"/>
          <w:rtl w:val="0"/>
        </w:rPr>
        <w:t xml:space="preserve">§ 1109(b)] is that anyone holding a direct financial stake in the outcome of the case should have an opportunity ... to participate in the adjudication of any issue that may ultimately shape the disposition of his or her interest.”)</w:t>
      </w:r>
    </w:p>
    <w:p w:rsidR="00000000" w:rsidDel="00000000" w:rsidP="00000000" w:rsidRDefault="00000000" w:rsidRPr="00000000" w14:paraId="0000002A">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of Adjustment proposes to impose a Legacy Charge on the electric bills of residential and commercial customers for the next 35 years or more. The Plan of Adjustment's terms will also determine whether or not PREPA, LUMA and Genera can reconstruct Puerto Rico's fragile energy grid and provide a stable source of energy for consumers, which directly affects their financial and physical well-being.</w:t>
      </w:r>
      <w:r w:rsidDel="00000000" w:rsidR="00000000" w:rsidRPr="00000000">
        <w:rPr>
          <w:rtl w:val="0"/>
        </w:rPr>
      </w:r>
    </w:p>
    <w:p w:rsidR="00000000" w:rsidDel="00000000" w:rsidP="00000000" w:rsidRDefault="00000000" w:rsidRPr="00000000" w14:paraId="0000002B">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Mr./Ms. LAST NAME </w:t>
      </w:r>
      <w:r w:rsidDel="00000000" w:rsidR="00000000" w:rsidRPr="00000000">
        <w:rPr>
          <w:rFonts w:ascii="Times New Roman" w:cs="Times New Roman" w:eastAsia="Times New Roman" w:hAnsi="Times New Roman"/>
          <w:sz w:val="24"/>
          <w:szCs w:val="24"/>
          <w:rtl w:val="0"/>
        </w:rPr>
        <w:t xml:space="preserve">is materially affected by the state of Puerto Rico's antiquated and severely deteriorated electricity grid in multiple ways</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b w:val="1"/>
          <w:sz w:val="24"/>
          <w:szCs w:val="24"/>
          <w:highlight w:val="green"/>
          <w:rtl w:val="0"/>
        </w:rPr>
        <w:t xml:space="preserve">PUT IN AS MUCH DETAIL AS YOU CAN ABOUT HOW THESE RATE INCREASES, AND THE ENERGY GRID'S FRAGILITY, ALREADY IMPACT AND/OR WILL IMPACT YOU AND YOUR FAMILY IN THE FUTURE – BE SPECIFIC ABOUT HOW OFTEN THE POWER GOES OUT, AND WHAT EFFECTS THIS HAS IN YOUR LIFE.</w:t>
      </w:r>
    </w:p>
    <w:p w:rsidR="00000000" w:rsidDel="00000000" w:rsidP="00000000" w:rsidRDefault="00000000" w:rsidRPr="00000000" w14:paraId="0000002C">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is a party in interest that “may raise and may appear and be heard on any issue in a case under this chapter.” 11 U.S.C. § 1109(b).</w:t>
      </w:r>
      <w:r w:rsidDel="00000000" w:rsidR="00000000" w:rsidRPr="00000000">
        <w:rPr>
          <w:rtl w:val="0"/>
        </w:rPr>
      </w:r>
    </w:p>
    <w:p w:rsidR="00000000" w:rsidDel="00000000" w:rsidP="00000000" w:rsidRDefault="00000000" w:rsidRPr="00000000" w14:paraId="0000002D">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PROCEDURAL BACKGROUND </w:t>
      </w:r>
    </w:p>
    <w:p w:rsidR="00000000" w:rsidDel="00000000" w:rsidP="00000000" w:rsidRDefault="00000000" w:rsidRPr="00000000" w14:paraId="0000002E">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over a decade, Puerto Rico’s economy has been in trouble and, by 2016, its massive debt became unsustainable. On June 30, 2016, PROMESA was signed into law. 48 U.S.C. § 2101 et seq. It created Title III to allow the territory access to bankruptcy relief for its instrumentalities. On July 2, 2017, the Financial Oversight and Management Board for Puerto Rico (“Oversight Board”) initiated a Title III case for PREPA. On December 16, 2022, the Oversight Board filed the first </w:t>
      </w:r>
      <w:r w:rsidDel="00000000" w:rsidR="00000000" w:rsidRPr="00000000">
        <w:rPr>
          <w:rFonts w:ascii="Times New Roman" w:cs="Times New Roman" w:eastAsia="Times New Roman" w:hAnsi="Times New Roman"/>
          <w:i w:val="1"/>
          <w:sz w:val="24"/>
          <w:szCs w:val="24"/>
          <w:rtl w:val="0"/>
        </w:rPr>
        <w:t xml:space="preserve">Title III Plan of Adjustment of the Puerto Rico Electric Power Authority</w:t>
      </w:r>
      <w:r w:rsidDel="00000000" w:rsidR="00000000" w:rsidRPr="00000000">
        <w:rPr>
          <w:rFonts w:ascii="Times New Roman" w:cs="Times New Roman" w:eastAsia="Times New Roman" w:hAnsi="Times New Roman"/>
          <w:sz w:val="24"/>
          <w:szCs w:val="24"/>
          <w:rtl w:val="0"/>
        </w:rPr>
        <w:t xml:space="preserve">. This Plan has been amended three (3) times. The current version of the Plan of Adjustment was filed on November 16 2023, ECF. No. 4170. Its supplemental disclosure statement was filed on November 16, 2023, ECF. No. 4171.</w:t>
      </w:r>
    </w:p>
    <w:p w:rsidR="00000000" w:rsidDel="00000000" w:rsidP="00000000" w:rsidRDefault="00000000" w:rsidRPr="00000000" w14:paraId="0000002F">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ARGUMENT </w:t>
      </w:r>
    </w:p>
    <w:p w:rsidR="00000000" w:rsidDel="00000000" w:rsidP="00000000" w:rsidRDefault="00000000" w:rsidRPr="00000000" w14:paraId="00000030">
      <w:pPr>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Plan of Adjustment is not feasible if it cannot demonstrate an ability to fix and maintain sustainable public services </w:t>
      </w:r>
    </w:p>
    <w:p w:rsidR="00000000" w:rsidDel="00000000" w:rsidP="00000000" w:rsidRDefault="00000000" w:rsidRPr="00000000" w14:paraId="00000031">
      <w:pPr>
        <w:spacing w:line="240" w:lineRule="auto"/>
        <w:ind w:left="72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2">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314 of PROMESA states the requirements for the confirmation of a Plan of Adjustment. 48 U.S.C. </w:t>
      </w:r>
      <w:r w:rsidDel="00000000" w:rsidR="00000000" w:rsidRPr="00000000">
        <w:rPr>
          <w:rFonts w:ascii="Times New Roman" w:cs="Times New Roman" w:eastAsia="Times New Roman" w:hAnsi="Times New Roman"/>
          <w:sz w:val="24"/>
          <w:szCs w:val="24"/>
          <w:highlight w:val="white"/>
          <w:rtl w:val="0"/>
        </w:rPr>
        <w:t xml:space="preserve">§ 2174(b):</w:t>
      </w:r>
      <w:r w:rsidDel="00000000" w:rsidR="00000000" w:rsidRPr="00000000">
        <w:rPr>
          <w:rtl w:val="0"/>
        </w:rPr>
      </w:r>
    </w:p>
    <w:p w:rsidR="00000000" w:rsidDel="00000000" w:rsidP="00000000" w:rsidRDefault="00000000" w:rsidRPr="00000000" w14:paraId="00000033">
      <w:pPr>
        <w:widowControl w:val="0"/>
        <w:spacing w:line="240" w:lineRule="auto"/>
        <w:ind w:left="720" w:righ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Title III court shall confirm a plan of adjustment so long as certain requirements are met, including that: the debtor is not prohibited by law from taking any action necessary to carry out the plan; . . . any legislative, regulatory, or electoral approval necessary under applicable law in order to carry out any provision of the plan has been obtained, or such provision is expressly conditioned on such approval; . . . [and] the plan is feasible. </w:t>
      </w:r>
      <w:r w:rsidDel="00000000" w:rsidR="00000000" w:rsidRPr="00000000">
        <w:rPr>
          <w:rFonts w:ascii="Times New Roman" w:cs="Times New Roman" w:eastAsia="Times New Roman" w:hAnsi="Times New Roman"/>
          <w:i w:val="1"/>
          <w:sz w:val="24"/>
          <w:szCs w:val="24"/>
          <w:rtl w:val="0"/>
        </w:rPr>
        <w:t xml:space="preserve">Fin. Oversight &amp; Mgmt. Bd. for P.R. v. Federacion de Maestros de P.R., Inc. (In re Fin. Oversight &amp; Mgmt. Bd. for P.R.)</w:t>
      </w:r>
      <w:r w:rsidDel="00000000" w:rsidR="00000000" w:rsidRPr="00000000">
        <w:rPr>
          <w:rFonts w:ascii="Times New Roman" w:cs="Times New Roman" w:eastAsia="Times New Roman" w:hAnsi="Times New Roman"/>
          <w:sz w:val="24"/>
          <w:szCs w:val="24"/>
          <w:rtl w:val="0"/>
        </w:rPr>
        <w:t xml:space="preserve">, 32 F.4th 67, 76 (1st Cir. 2022) (citation omitted).</w:t>
      </w:r>
    </w:p>
    <w:p w:rsidR="00000000" w:rsidDel="00000000" w:rsidP="00000000" w:rsidRDefault="00000000" w:rsidRPr="00000000" w14:paraId="00000034">
      <w:pPr>
        <w:widowControl w:val="0"/>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PROMESA, a plan of adjustment must be supported by financial projections that are ‘reasonable and demonstrate a probability that the debtor will be able to satisfy its obligations under the Plan.’” </w:t>
      </w:r>
      <w:r w:rsidDel="00000000" w:rsidR="00000000" w:rsidRPr="00000000">
        <w:rPr>
          <w:rFonts w:ascii="Times New Roman" w:cs="Times New Roman" w:eastAsia="Times New Roman" w:hAnsi="Times New Roman"/>
          <w:i w:val="1"/>
          <w:sz w:val="24"/>
          <w:szCs w:val="24"/>
          <w:rtl w:val="0"/>
        </w:rPr>
        <w:t xml:space="preserve">In re Fin. Oversight &amp; Mgmt. Bd.</w:t>
      </w:r>
      <w:r w:rsidDel="00000000" w:rsidR="00000000" w:rsidRPr="00000000">
        <w:rPr>
          <w:rFonts w:ascii="Times New Roman" w:cs="Times New Roman" w:eastAsia="Times New Roman" w:hAnsi="Times New Roman"/>
          <w:sz w:val="24"/>
          <w:szCs w:val="24"/>
          <w:rtl w:val="0"/>
        </w:rPr>
        <w:t xml:space="preserve">, 637 B.R. 223, 302-03 (D.P.R. 2022).</w:t>
      </w:r>
    </w:p>
    <w:p w:rsidR="00000000" w:rsidDel="00000000" w:rsidP="00000000" w:rsidRDefault="00000000" w:rsidRPr="00000000" w14:paraId="00000036">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means asking: “Is it likely that the debtor, after the confirmation of the Plan of Adjustment, will be able to sustainably provide basic municipal services to the citizens of the debtor and to meet the obligations contemplated in the Plan without the significant probability of a default?” </w:t>
      </w:r>
      <w:r w:rsidDel="00000000" w:rsidR="00000000" w:rsidRPr="00000000">
        <w:rPr>
          <w:rFonts w:ascii="Times New Roman" w:cs="Times New Roman" w:eastAsia="Times New Roman" w:hAnsi="Times New Roman"/>
          <w:i w:val="1"/>
          <w:sz w:val="24"/>
          <w:szCs w:val="24"/>
          <w:rtl w:val="0"/>
        </w:rPr>
        <w:t xml:space="preserve">Id; see also In re City of Detroit</w:t>
      </w:r>
      <w:r w:rsidDel="00000000" w:rsidR="00000000" w:rsidRPr="00000000">
        <w:rPr>
          <w:rFonts w:ascii="Times New Roman" w:cs="Times New Roman" w:eastAsia="Times New Roman" w:hAnsi="Times New Roman"/>
          <w:sz w:val="24"/>
          <w:szCs w:val="24"/>
          <w:rtl w:val="0"/>
        </w:rPr>
        <w:t xml:space="preserve">, 524 B.R. 147, 220 (Bankr. E.D. Mich. 2014) ("Indeed a feasibility showing premised upon long-term repayment… may be particularly difficult for the [municipal] debtor, which must not only demonstrate a probability that it will be able to pay on pre-petition debt in accordance with the plan, </w:t>
      </w:r>
      <w:r w:rsidDel="00000000" w:rsidR="00000000" w:rsidRPr="00000000">
        <w:rPr>
          <w:rFonts w:ascii="Times New Roman" w:cs="Times New Roman" w:eastAsia="Times New Roman" w:hAnsi="Times New Roman"/>
          <w:b w:val="1"/>
          <w:sz w:val="24"/>
          <w:szCs w:val="24"/>
          <w:rtl w:val="0"/>
        </w:rPr>
        <w:t xml:space="preserve">but most also demonstrate the probability that it can continue to provide public services while it repays debt.</w:t>
      </w:r>
      <w:r w:rsidDel="00000000" w:rsidR="00000000" w:rsidRPr="00000000">
        <w:rPr>
          <w:rFonts w:ascii="Times New Roman" w:cs="Times New Roman" w:eastAsia="Times New Roman" w:hAnsi="Times New Roman"/>
          <w:sz w:val="24"/>
          <w:szCs w:val="24"/>
          <w:rtl w:val="0"/>
        </w:rPr>
        <w:t xml:space="preserve">" (emphasis added)).</w:t>
      </w:r>
      <w:r w:rsidDel="00000000" w:rsidR="00000000" w:rsidRPr="00000000">
        <w:rPr>
          <w:rtl w:val="0"/>
        </w:rPr>
      </w:r>
    </w:p>
    <w:p w:rsidR="00000000" w:rsidDel="00000000" w:rsidP="00000000" w:rsidRDefault="00000000" w:rsidRPr="00000000" w14:paraId="00000037">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for determining a Plan of Adjustment's feasibility –which requires demonstrating with reasonable certainty the debtor's ability to maintain the provision of l public services– is not just an express requirement under PROMESA, but moreover lies at the heart of any municipal bankruptcy proceedings' underlying goals and equitable doctrines.  </w:t>
      </w:r>
      <w:r w:rsidDel="00000000" w:rsidR="00000000" w:rsidRPr="00000000">
        <w:rPr>
          <w:rFonts w:ascii="Times New Roman" w:cs="Times New Roman" w:eastAsia="Times New Roman" w:hAnsi="Times New Roman"/>
          <w:i w:val="1"/>
          <w:sz w:val="24"/>
          <w:szCs w:val="24"/>
          <w:rtl w:val="0"/>
        </w:rPr>
        <w:t xml:space="preserve">See, e.g., In re City of Detroit</w:t>
      </w:r>
      <w:r w:rsidDel="00000000" w:rsidR="00000000" w:rsidRPr="00000000">
        <w:rPr>
          <w:rFonts w:ascii="Times New Roman" w:cs="Times New Roman" w:eastAsia="Times New Roman" w:hAnsi="Times New Roman"/>
          <w:sz w:val="24"/>
          <w:szCs w:val="24"/>
          <w:rtl w:val="0"/>
        </w:rPr>
        <w:t xml:space="preserve">, 524 B.R. 147, 220 (Bankr. E.D. Mich. 2014) (citing </w:t>
      </w:r>
      <w:r w:rsidDel="00000000" w:rsidR="00000000" w:rsidRPr="00000000">
        <w:rPr>
          <w:rFonts w:ascii="Times New Roman" w:cs="Times New Roman" w:eastAsia="Times New Roman" w:hAnsi="Times New Roman"/>
          <w:i w:val="1"/>
          <w:sz w:val="24"/>
          <w:szCs w:val="24"/>
          <w:rtl w:val="0"/>
        </w:rPr>
        <w:t xml:space="preserve">In re Mount Carbon Metro. Dist.</w:t>
      </w:r>
      <w:r w:rsidDel="00000000" w:rsidR="00000000" w:rsidRPr="00000000">
        <w:rPr>
          <w:rFonts w:ascii="Times New Roman" w:cs="Times New Roman" w:eastAsia="Times New Roman" w:hAnsi="Times New Roman"/>
          <w:sz w:val="24"/>
          <w:szCs w:val="24"/>
          <w:rtl w:val="0"/>
        </w:rPr>
        <w:t xml:space="preserve">, 242 B.R. 18, 31 (Bankr. D. Colo. 1999)) ("[T]he feasibility of the plan depends upon </w:t>
      </w:r>
      <w:r w:rsidDel="00000000" w:rsidR="00000000" w:rsidRPr="00000000">
        <w:rPr>
          <w:rFonts w:ascii="Times New Roman" w:cs="Times New Roman" w:eastAsia="Times New Roman" w:hAnsi="Times New Roman"/>
          <w:b w:val="1"/>
          <w:sz w:val="24"/>
          <w:szCs w:val="24"/>
          <w:rtl w:val="0"/>
        </w:rPr>
        <w:t xml:space="preserve">the City's ability to fix and maintain its broken governmental operations</w:t>
      </w:r>
      <w:r w:rsidDel="00000000" w:rsidR="00000000" w:rsidRPr="00000000">
        <w:rPr>
          <w:rFonts w:ascii="Times New Roman" w:cs="Times New Roman" w:eastAsia="Times New Roman" w:hAnsi="Times New Roman"/>
          <w:sz w:val="24"/>
          <w:szCs w:val="24"/>
          <w:rtl w:val="0"/>
        </w:rPr>
        <w:t xml:space="preserve">. This is significant because the chapter 9 feasibility inquiry requires an analysis of whether the City can reasonably provide sustainable municipal services, as the court found in </w:t>
      </w:r>
      <w:r w:rsidDel="00000000" w:rsidR="00000000" w:rsidRPr="00000000">
        <w:rPr>
          <w:rFonts w:ascii="Times New Roman" w:cs="Times New Roman" w:eastAsia="Times New Roman" w:hAnsi="Times New Roman"/>
          <w:i w:val="1"/>
          <w:sz w:val="24"/>
          <w:szCs w:val="24"/>
          <w:rtl w:val="0"/>
        </w:rPr>
        <w:t xml:space="preserve">In re Mount Carbon.</w:t>
      </w:r>
      <w:r w:rsidDel="00000000" w:rsidR="00000000" w:rsidRPr="00000000">
        <w:rPr>
          <w:rFonts w:ascii="Times New Roman" w:cs="Times New Roman" w:eastAsia="Times New Roman" w:hAnsi="Times New Roman"/>
          <w:sz w:val="24"/>
          <w:szCs w:val="24"/>
          <w:rtl w:val="0"/>
        </w:rPr>
        <w:t xml:space="preserve">" (emphasis added)).</w:t>
      </w: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proposed Plan of Adjustment fails to demonstrate the debtor's ability to fix Puerto Rico's gravely deteriorated energy grid and to maintain it in good operating conditions in the near-to-long-term future.</w:t>
      </w:r>
      <w:r w:rsidDel="00000000" w:rsidR="00000000" w:rsidRPr="00000000">
        <w:rPr>
          <w:rtl w:val="0"/>
        </w:rPr>
      </w:r>
    </w:p>
    <w:p w:rsidR="00000000" w:rsidDel="00000000" w:rsidP="00000000" w:rsidRDefault="00000000" w:rsidRPr="00000000" w14:paraId="00000039">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Plan of Adjustment offers little to no assurance that reorganized PREPA will be able to maintain and improve Puerto Rico's antiquated electricity grid, or to effectively provide services to its consumers.</w:t>
      </w:r>
      <w:r w:rsidDel="00000000" w:rsidR="00000000" w:rsidRPr="00000000">
        <w:rPr>
          <w:rtl w:val="0"/>
        </w:rPr>
      </w:r>
    </w:p>
    <w:p w:rsidR="00000000" w:rsidDel="00000000" w:rsidP="00000000" w:rsidRDefault="00000000" w:rsidRPr="00000000" w14:paraId="0000003B">
      <w:pPr>
        <w:widowControl w:val="0"/>
        <w:numPr>
          <w:ilvl w:val="0"/>
          <w:numId w:val="1"/>
        </w:numPr>
        <w:spacing w:line="480" w:lineRule="auto"/>
        <w:ind w:lef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w:t>
      </w:r>
      <w:r w:rsidDel="00000000" w:rsidR="00000000" w:rsidRPr="00000000">
        <w:rPr>
          <w:rFonts w:ascii="Times New Roman" w:cs="Times New Roman" w:eastAsia="Times New Roman" w:hAnsi="Times New Roman"/>
          <w:sz w:val="24"/>
          <w:szCs w:val="24"/>
          <w:highlight w:val="green"/>
          <w:rtl w:val="0"/>
        </w:rPr>
        <w:t xml:space="preserve">FULL NAME </w:t>
      </w:r>
      <w:r w:rsidDel="00000000" w:rsidR="00000000" w:rsidRPr="00000000">
        <w:rPr>
          <w:rFonts w:ascii="Times New Roman" w:cs="Times New Roman" w:eastAsia="Times New Roman" w:hAnsi="Times New Roman"/>
          <w:sz w:val="24"/>
          <w:szCs w:val="24"/>
          <w:highlight w:val="white"/>
          <w:rtl w:val="0"/>
        </w:rPr>
        <w:t xml:space="preserve">demonstrates here, Puerto Rico's electricity grid is gravely dysfunctional. </w:t>
      </w:r>
      <w:r w:rsidDel="00000000" w:rsidR="00000000" w:rsidRPr="00000000">
        <w:rPr>
          <w:rFonts w:ascii="Times New Roman" w:cs="Times New Roman" w:eastAsia="Times New Roman" w:hAnsi="Times New Roman"/>
          <w:i w:val="1"/>
          <w:sz w:val="24"/>
          <w:szCs w:val="24"/>
          <w:highlight w:val="white"/>
          <w:rtl w:val="0"/>
        </w:rPr>
        <w:t xml:space="preserve">See </w:t>
      </w:r>
      <w:r w:rsidDel="00000000" w:rsidR="00000000" w:rsidRPr="00000000">
        <w:rPr>
          <w:rFonts w:ascii="Times New Roman" w:cs="Times New Roman" w:eastAsia="Times New Roman" w:hAnsi="Times New Roman"/>
          <w:sz w:val="24"/>
          <w:szCs w:val="24"/>
          <w:highlight w:val="white"/>
          <w:rtl w:val="0"/>
        </w:rPr>
        <w:t xml:space="preserve">the FOMB's "2</w:t>
      </w:r>
      <w:r w:rsidDel="00000000" w:rsidR="00000000" w:rsidRPr="00000000">
        <w:rPr>
          <w:rFonts w:ascii="Times New Roman" w:cs="Times New Roman" w:eastAsia="Times New Roman" w:hAnsi="Times New Roman"/>
          <w:sz w:val="24"/>
          <w:szCs w:val="24"/>
          <w:rtl w:val="0"/>
        </w:rPr>
        <w:t xml:space="preserve">023 Certified Fiscal Plan for the Puerto Rico Electric Power Authority" at p. 40 ("The condition and performance of PREPA’s aging plants has continued to deteriorate availability of the system’s generating units dropped by approximately 18% from calendar year 2015 to 2022") and at p. 41 ("there are several significant systemic challenges and legacy practices that impact the operation and maintenance of today’s T&amp;D system.). </w:t>
      </w:r>
      <w:r w:rsidDel="00000000" w:rsidR="00000000" w:rsidRPr="00000000">
        <w:rPr>
          <w:rFonts w:ascii="Times New Roman" w:cs="Times New Roman" w:eastAsia="Times New Roman" w:hAnsi="Times New Roman"/>
          <w:sz w:val="24"/>
          <w:szCs w:val="24"/>
          <w:highlight w:val="white"/>
          <w:rtl w:val="0"/>
        </w:rPr>
        <w:t xml:space="preserve">The system is already far from being a "reasonable provision of basic municipal services." Puerto Ricans exponentially suffer from the financial, physical, and emotional consequences of having an unreliable energy system on a daily basis.</w:t>
      </w:r>
      <w:r w:rsidDel="00000000" w:rsidR="00000000" w:rsidRPr="00000000">
        <w:rPr>
          <w:rtl w:val="0"/>
        </w:rPr>
      </w:r>
    </w:p>
    <w:p w:rsidR="00000000" w:rsidDel="00000000" w:rsidP="00000000" w:rsidRDefault="00000000" w:rsidRPr="00000000" w14:paraId="0000003C">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Adequately fixing and maintaining this deteriorated municipal service –which should be the primary objective of this bankruptcy proceeding– thus requires substantial investments in repairs and infrastructural improvements. The proposed Plan of Adjustment’s terms, however, do not provide a reasonable projection of reorganized PREPA's ability to reconstruct and rehabilitate Puerto Rico's broken and fragile energy grid and maintain its operations. Instead, the proposed Plan of Adjustment speculates </w:t>
      </w:r>
      <w:r w:rsidDel="00000000" w:rsidR="00000000" w:rsidRPr="00000000">
        <w:rPr>
          <w:rFonts w:ascii="Times New Roman" w:cs="Times New Roman" w:eastAsia="Times New Roman" w:hAnsi="Times New Roman"/>
          <w:sz w:val="24"/>
          <w:szCs w:val="24"/>
          <w:rtl w:val="0"/>
        </w:rPr>
        <w:t xml:space="preserve">that PREPA will be able to generate sufficient revenue and disburse "federal grants… to enable PREPA to repair damage to its electric grid."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Disclosure Statement Supplement at 52 n. 58.</w:t>
      </w:r>
      <w:r w:rsidDel="00000000" w:rsidR="00000000" w:rsidRPr="00000000">
        <w:rPr>
          <w:rtl w:val="0"/>
        </w:rPr>
      </w:r>
    </w:p>
    <w:p w:rsidR="00000000" w:rsidDel="00000000" w:rsidP="00000000" w:rsidRDefault="00000000" w:rsidRPr="00000000" w14:paraId="0000003D">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Plan's reliance on the availability of federal funds for disaster relief to reconstruct the island's energy grid are </w:t>
      </w:r>
      <w:r w:rsidDel="00000000" w:rsidR="00000000" w:rsidRPr="00000000">
        <w:rPr>
          <w:rFonts w:ascii="Times New Roman" w:cs="Times New Roman" w:eastAsia="Times New Roman" w:hAnsi="Times New Roman"/>
          <w:sz w:val="24"/>
          <w:szCs w:val="24"/>
          <w:rtl w:val="0"/>
        </w:rPr>
        <w:t xml:space="preserve">mere "hopes, desires and speculations". </w:t>
      </w:r>
      <w:r w:rsidDel="00000000" w:rsidR="00000000" w:rsidRPr="00000000">
        <w:rPr>
          <w:rFonts w:ascii="Times New Roman" w:cs="Times New Roman" w:eastAsia="Times New Roman" w:hAnsi="Times New Roman"/>
          <w:i w:val="1"/>
          <w:sz w:val="24"/>
          <w:szCs w:val="24"/>
          <w:rtl w:val="0"/>
        </w:rPr>
        <w:t xml:space="preserve">In re City of Detroit,</w:t>
      </w:r>
      <w:r w:rsidDel="00000000" w:rsidR="00000000" w:rsidRPr="00000000">
        <w:rPr>
          <w:rFonts w:ascii="Times New Roman" w:cs="Times New Roman" w:eastAsia="Times New Roman" w:hAnsi="Times New Roman"/>
          <w:sz w:val="24"/>
          <w:szCs w:val="24"/>
          <w:rtl w:val="0"/>
        </w:rPr>
        <w:t xml:space="preserve"> supra, 524 B.R. at 220. Tenuously assuming –without evidence or reasonable certainty– that such funds will (a) be made available as rapidly as they are needed and (b) cover the full costs of the energy grid's capital investments squarely contradicts the statutory obligation to demonstrate reorganized PREPA's ability to provide basic municipal services while also paying its debts.</w:t>
      </w:r>
    </w:p>
    <w:p w:rsidR="00000000" w:rsidDel="00000000" w:rsidP="00000000" w:rsidRDefault="00000000" w:rsidRPr="00000000" w14:paraId="0000003E">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proposed Plan's speculative estimates about the availability of federal funding falls short of the investment required to maintain a sustainable provision of energy for residents. In 2019, PREPA produced a transformation plan with a total price tag of $20.3 billion over the next 10 years.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"The Grid Modernization of Puerto Rico," published by PREPA and COR3. But the proposed Plan's underlying Fiscal Plan cites only "$12 billion of federal funding obligated [to PREPA] for permanent [reconstruction] work as of June 2, 2023." </w:t>
      </w:r>
      <w:r w:rsidDel="00000000" w:rsidR="00000000" w:rsidRPr="00000000">
        <w:rPr>
          <w:rFonts w:ascii="Times New Roman" w:cs="Times New Roman" w:eastAsia="Times New Roman" w:hAnsi="Times New Roman"/>
          <w:i w:val="1"/>
          <w:sz w:val="24"/>
          <w:szCs w:val="24"/>
          <w:rtl w:val="0"/>
        </w:rPr>
        <w:t xml:space="preserve">See </w:t>
      </w:r>
      <w:r w:rsidDel="00000000" w:rsidR="00000000" w:rsidRPr="00000000">
        <w:rPr>
          <w:rFonts w:ascii="Times New Roman" w:cs="Times New Roman" w:eastAsia="Times New Roman" w:hAnsi="Times New Roman"/>
          <w:sz w:val="24"/>
          <w:szCs w:val="24"/>
          <w:rtl w:val="0"/>
        </w:rPr>
        <w:t xml:space="preserve">2023 Certified Fiscal Plan for the Puerto Rico Electric Power Authority at p. 88. And as of August 2023, PREPA has only received approximately $2.17 billion in federal disaster relief funding.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Disclosure Statement Supplement, ECF No. 4171, at p. 59. The Proposed Plan's reliance on $12 billion in federal funding for the grid's reconstruction work is not only speculative, but also ignores the gap between the expected $12 billion and the required $20.3 billion to complete rebuilding of the grid. </w:t>
      </w:r>
    </w:p>
    <w:p w:rsidR="00000000" w:rsidDel="00000000" w:rsidP="00000000" w:rsidRDefault="00000000" w:rsidRPr="00000000" w14:paraId="0000003F">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PREPA</w:t>
      </w:r>
      <w:r w:rsidDel="00000000" w:rsidR="00000000" w:rsidRPr="00000000">
        <w:rPr>
          <w:rFonts w:ascii="Times New Roman" w:cs="Times New Roman" w:eastAsia="Times New Roman" w:hAnsi="Times New Roman"/>
          <w:sz w:val="24"/>
          <w:szCs w:val="24"/>
          <w:highlight w:val="white"/>
          <w:rtl w:val="0"/>
        </w:rPr>
        <w:t xml:space="preserve"> is well aware of the</w:t>
      </w:r>
      <w:r w:rsidDel="00000000" w:rsidR="00000000" w:rsidRPr="00000000">
        <w:rPr>
          <w:rFonts w:ascii="Times New Roman" w:cs="Times New Roman" w:eastAsia="Times New Roman" w:hAnsi="Times New Roman"/>
          <w:sz w:val="24"/>
          <w:szCs w:val="24"/>
          <w:highlight w:val="white"/>
          <w:rtl w:val="0"/>
        </w:rPr>
        <w:t xml:space="preserve"> electricity grid's vulnerability to  a </w:t>
      </w:r>
      <w:r w:rsidDel="00000000" w:rsidR="00000000" w:rsidRPr="00000000">
        <w:rPr>
          <w:rFonts w:ascii="Times New Roman" w:cs="Times New Roman" w:eastAsia="Times New Roman" w:hAnsi="Times New Roman"/>
          <w:i w:val="1"/>
          <w:sz w:val="24"/>
          <w:szCs w:val="24"/>
          <w:highlight w:val="white"/>
          <w:rtl w:val="0"/>
        </w:rPr>
        <w:t xml:space="preserve">force majeure </w:t>
      </w:r>
      <w:r w:rsidDel="00000000" w:rsidR="00000000" w:rsidRPr="00000000">
        <w:rPr>
          <w:rFonts w:ascii="Times New Roman" w:cs="Times New Roman" w:eastAsia="Times New Roman" w:hAnsi="Times New Roman"/>
          <w:sz w:val="24"/>
          <w:szCs w:val="24"/>
          <w:highlight w:val="white"/>
          <w:rtl w:val="0"/>
        </w:rPr>
        <w:t xml:space="preserve">event that will further damage an already deteriorated grid. </w:t>
      </w:r>
      <w:r w:rsidDel="00000000" w:rsidR="00000000" w:rsidRPr="00000000">
        <w:rPr>
          <w:rFonts w:ascii="Times New Roman" w:cs="Times New Roman" w:eastAsia="Times New Roman" w:hAnsi="Times New Roman"/>
          <w:i w:val="1"/>
          <w:sz w:val="24"/>
          <w:szCs w:val="24"/>
          <w:highlight w:val="white"/>
          <w:rtl w:val="0"/>
        </w:rPr>
        <w:t xml:space="preserve">See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Disclosure Statement</w:t>
      </w:r>
      <w:r w:rsidDel="00000000" w:rsidR="00000000" w:rsidRPr="00000000">
        <w:rPr>
          <w:rFonts w:ascii="Times New Roman" w:cs="Times New Roman" w:eastAsia="Times New Roman" w:hAnsi="Times New Roman"/>
          <w:sz w:val="24"/>
          <w:szCs w:val="24"/>
          <w:rtl w:val="0"/>
        </w:rPr>
        <w:t xml:space="preserve">, ECF No. 4171, at p. 105. But instead of accounting for this vulnerability and ensuring a distribution of proceeds that will reasonably ensure the grid's reconstruction (and, thus, its ability to operate on a basic and sustainable level), t</w:t>
      </w:r>
      <w:r w:rsidDel="00000000" w:rsidR="00000000" w:rsidRPr="00000000">
        <w:rPr>
          <w:rFonts w:ascii="Times New Roman" w:cs="Times New Roman" w:eastAsia="Times New Roman" w:hAnsi="Times New Roman"/>
          <w:sz w:val="24"/>
          <w:szCs w:val="24"/>
          <w:highlight w:val="white"/>
          <w:rtl w:val="0"/>
        </w:rPr>
        <w:t xml:space="preserve">he proposed Plan of Adjustment relies on (insufficient) speculations about the future availability of federal funds, thus deprioritizing the urgency of fixing a broken system. Indeed, the Plan's restructuring strategy is principally premised on increasing residential rates and allocating the proceeds of PREPA's revenues to the repayment of bondholders (the Legacy Charge), not on rebuilding or improving the energy infrastructure.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2023 Certified Fiscal Plan for the Puerto Rico Electric Power Authority at p. 142. ("Given the antiquated and fragile nature of PREPA's infrastructure all incremental revenues generated from rate increases to pay restructured debt</w:t>
      </w:r>
      <w:r w:rsidDel="00000000" w:rsidR="00000000" w:rsidRPr="00000000">
        <w:rPr>
          <w:rFonts w:ascii="Times New Roman" w:cs="Times New Roman" w:eastAsia="Times New Roman" w:hAnsi="Times New Roman"/>
          <w:b w:val="1"/>
          <w:sz w:val="24"/>
          <w:szCs w:val="24"/>
          <w:rtl w:val="0"/>
        </w:rPr>
        <w:t xml:space="preserve"> could be used to transform PREPA</w:t>
      </w:r>
      <w:r w:rsidDel="00000000" w:rsidR="00000000" w:rsidRPr="00000000">
        <w:rPr>
          <w:rFonts w:ascii="Times New Roman" w:cs="Times New Roman" w:eastAsia="Times New Roman" w:hAnsi="Times New Roman"/>
          <w:sz w:val="24"/>
          <w:szCs w:val="24"/>
          <w:rtl w:val="0"/>
        </w:rPr>
        <w:t xml:space="preserve"> into a modern, efficient, clean utility. The Oversight Board, </w:t>
      </w:r>
      <w:r w:rsidDel="00000000" w:rsidR="00000000" w:rsidRPr="00000000">
        <w:rPr>
          <w:rFonts w:ascii="Times New Roman" w:cs="Times New Roman" w:eastAsia="Times New Roman" w:hAnsi="Times New Roman"/>
          <w:b w:val="1"/>
          <w:sz w:val="24"/>
          <w:szCs w:val="24"/>
          <w:rtl w:val="0"/>
        </w:rPr>
        <w:t xml:space="preserve">however</w:t>
      </w:r>
      <w:r w:rsidDel="00000000" w:rsidR="00000000" w:rsidRPr="00000000">
        <w:rPr>
          <w:rFonts w:ascii="Times New Roman" w:cs="Times New Roman" w:eastAsia="Times New Roman" w:hAnsi="Times New Roman"/>
          <w:sz w:val="24"/>
          <w:szCs w:val="24"/>
          <w:rtl w:val="0"/>
        </w:rPr>
        <w:t xml:space="preserve">, will use the revenues generated by such rate increases to repay creditors." (emphasis added)).</w:t>
      </w:r>
      <w:r w:rsidDel="00000000" w:rsidR="00000000" w:rsidRPr="00000000">
        <w:rPr>
          <w:rtl w:val="0"/>
        </w:rPr>
      </w:r>
    </w:p>
    <w:p w:rsidR="00000000" w:rsidDel="00000000" w:rsidP="00000000" w:rsidRDefault="00000000" w:rsidRPr="00000000" w14:paraId="00000040">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Plan of Adjustment does not offer reasonable projections about reorganized PREPA's ability to fix Puerto Rico's broken energy grid and offer a stable provision of this public service. Instead, it burdens citizens by increasing energy rates that will be used to pay off new debt and deprioritizes the need to invest in the grid's infrastructure, leaving this latter task to speculations about PREPA's future revenues and the possible availability of future federal funding. </w:t>
      </w:r>
    </w:p>
    <w:p w:rsidR="00000000" w:rsidDel="00000000" w:rsidP="00000000" w:rsidRDefault="00000000" w:rsidRPr="00000000" w14:paraId="00000041">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framework inverts the order of priorities, burdens Puerto Rico's ratepayers, such as </w:t>
      </w: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and gravely undermines PREPA, Luma, and Genera's ability to ensure the basic provision of municipal service while PREPA repays its debts. For the reasons stated above, the Plan of Adjustment is not feasible under PROMESA and runs afoul of municipal bankruptcy's basic tenet: ensuring that a government entity can provide reliable services without a significant probability of future default.</w:t>
      </w:r>
      <w:r w:rsidDel="00000000" w:rsidR="00000000" w:rsidRPr="00000000">
        <w:rPr>
          <w:rtl w:val="0"/>
        </w:rPr>
      </w:r>
    </w:p>
    <w:p w:rsidR="00000000" w:rsidDel="00000000" w:rsidP="00000000" w:rsidRDefault="00000000" w:rsidRPr="00000000" w14:paraId="00000042">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CONCLUSION</w:t>
      </w:r>
    </w:p>
    <w:p w:rsidR="00000000" w:rsidDel="00000000" w:rsidP="00000000" w:rsidRDefault="00000000" w:rsidRPr="00000000" w14:paraId="00000043">
      <w:pPr>
        <w:widowControl w:val="0"/>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this Court should not confirm the Plan of Adjustment because it does not meet the requirements under PROMESA. Additionally, the confirmation of the Plan of Adjustment would cause great prejudice to </w:t>
      </w: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and the people of Puerto Rico.</w:t>
      </w:r>
    </w:p>
    <w:p w:rsidR="00000000" w:rsidDel="00000000" w:rsidP="00000000" w:rsidRDefault="00000000" w:rsidRPr="00000000" w14:paraId="00000044">
      <w:pPr>
        <w:widowControl w:val="0"/>
        <w:numPr>
          <w:ilvl w:val="0"/>
          <w:numId w:val="1"/>
        </w:numPr>
        <w:spacing w:line="48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PREPA’s restructuring is very important, because electric power is necessary both for consumers and businesses alike. It is the driving force of Puerto Rico’s economy. If PREPA’s restructuring becomes too burdensome on the people and businesses of Puerto Rico, or if it fails to ensure the provision of a stable and reliable electricity service, it will affect any possibility of economic growth and development. </w:t>
      </w:r>
    </w:p>
    <w:p w:rsidR="00000000" w:rsidDel="00000000" w:rsidP="00000000" w:rsidRDefault="00000000" w:rsidRPr="00000000" w14:paraId="00000045">
      <w:pPr>
        <w:pStyle w:val="Heading1"/>
        <w:keepLines w:val="0"/>
        <w:widowControl w:val="0"/>
        <w:spacing w:after="0" w:before="0" w:line="48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RELIEF REQUESTED</w:t>
      </w:r>
    </w:p>
    <w:p w:rsidR="00000000" w:rsidDel="00000000" w:rsidP="00000000" w:rsidRDefault="00000000" w:rsidRPr="00000000" w14:paraId="00000046">
      <w:pPr>
        <w:widowControl w:val="0"/>
        <w:spacing w:line="480" w:lineRule="auto"/>
        <w:ind w:left="36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WHEREFORE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FULL NAME</w:t>
      </w:r>
      <w:r w:rsidDel="00000000" w:rsidR="00000000" w:rsidRPr="00000000">
        <w:rPr>
          <w:rFonts w:ascii="Times New Roman" w:cs="Times New Roman" w:eastAsia="Times New Roman" w:hAnsi="Times New Roman"/>
          <w:sz w:val="24"/>
          <w:szCs w:val="24"/>
          <w:rtl w:val="0"/>
        </w:rPr>
        <w:t xml:space="preserve"> respectfully requests that the Court take notice of the above stated and deny the confirmation of the Plan of Adjustment. </w:t>
      </w:r>
    </w:p>
    <w:p w:rsidR="00000000" w:rsidDel="00000000" w:rsidP="00000000" w:rsidRDefault="00000000" w:rsidRPr="00000000" w14:paraId="00000047">
      <w:pPr>
        <w:widowControl w:val="0"/>
        <w:spacing w:line="480" w:lineRule="auto"/>
        <w:ind w:left="36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HEREBY CERTIFY</w:t>
      </w:r>
      <w:r w:rsidDel="00000000" w:rsidR="00000000" w:rsidRPr="00000000">
        <w:rPr>
          <w:rFonts w:ascii="Times New Roman" w:cs="Times New Roman" w:eastAsia="Times New Roman" w:hAnsi="Times New Roman"/>
          <w:sz w:val="24"/>
          <w:szCs w:val="24"/>
          <w:rtl w:val="0"/>
        </w:rPr>
        <w:t xml:space="preserve"> that on this same date I conventionally filed the foregoing with the Clerk of the Court. </w:t>
      </w:r>
    </w:p>
    <w:p w:rsidR="00000000" w:rsidDel="00000000" w:rsidP="00000000" w:rsidRDefault="00000000" w:rsidRPr="00000000" w14:paraId="00000048">
      <w:pPr>
        <w:widowControl w:val="0"/>
        <w:spacing w:line="480" w:lineRule="auto"/>
        <w:ind w:left="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highlight w:val="green"/>
          <w:rtl w:val="0"/>
        </w:rPr>
        <w:t xml:space="preserve">Municipality </w:t>
      </w:r>
      <w:r w:rsidDel="00000000" w:rsidR="00000000" w:rsidRPr="00000000">
        <w:rPr>
          <w:rFonts w:ascii="Times New Roman" w:cs="Times New Roman" w:eastAsia="Times New Roman" w:hAnsi="Times New Roman"/>
          <w:sz w:val="24"/>
          <w:szCs w:val="24"/>
          <w:rtl w:val="0"/>
        </w:rPr>
        <w:t xml:space="preserve">Puerto Rico, this </w:t>
      </w:r>
      <w:r w:rsidDel="00000000" w:rsidR="00000000" w:rsidRPr="00000000">
        <w:rPr>
          <w:rFonts w:ascii="Times New Roman" w:cs="Times New Roman" w:eastAsia="Times New Roman" w:hAnsi="Times New Roman"/>
          <w:sz w:val="24"/>
          <w:szCs w:val="24"/>
          <w:highlight w:val="green"/>
          <w:rtl w:val="0"/>
        </w:rPr>
        <w:t xml:space="preserve">___</w:t>
      </w:r>
      <w:r w:rsidDel="00000000" w:rsidR="00000000" w:rsidRPr="00000000">
        <w:rPr>
          <w:rFonts w:ascii="Times New Roman" w:cs="Times New Roman" w:eastAsia="Times New Roman" w:hAnsi="Times New Roman"/>
          <w:sz w:val="24"/>
          <w:szCs w:val="24"/>
          <w:highlight w:val="green"/>
          <w:vertAlign w:val="superscript"/>
          <w:rtl w:val="0"/>
        </w:rPr>
        <w:t xml:space="preserve">th</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day of </w:t>
      </w:r>
      <w:r w:rsidDel="00000000" w:rsidR="00000000" w:rsidRPr="00000000">
        <w:rPr>
          <w:rFonts w:ascii="Times New Roman" w:cs="Times New Roman" w:eastAsia="Times New Roman" w:hAnsi="Times New Roman"/>
          <w:sz w:val="24"/>
          <w:szCs w:val="24"/>
          <w:highlight w:val="green"/>
          <w:rtl w:val="0"/>
        </w:rPr>
        <w:t xml:space="preserve">Month YEAR.</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tabs>
          <w:tab w:val="left" w:leader="none" w:pos="639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B">
      <w:pPr>
        <w:widowControl w:val="0"/>
        <w:tabs>
          <w:tab w:val="left" w:leader="none" w:pos="639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HANDWRITTEN SIGNATURE</w:t>
        <w:br w:type="textWrapping"/>
      </w:r>
    </w:p>
    <w:p w:rsidR="00000000" w:rsidDel="00000000" w:rsidP="00000000" w:rsidRDefault="00000000" w:rsidRPr="00000000" w14:paraId="0000004D">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br w:type="textWrapping"/>
        <w:t xml:space="preserve">FULL NAME</w:t>
      </w:r>
    </w:p>
    <w:p w:rsidR="00000000" w:rsidDel="00000000" w:rsidP="00000000" w:rsidRDefault="00000000" w:rsidRPr="00000000" w14:paraId="0000004E">
      <w:pPr>
        <w:spacing w:line="240" w:lineRule="auto"/>
        <w:ind w:left="1080" w:hanging="3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 se</w:t>
      </w:r>
      <w:r w:rsidDel="00000000" w:rsidR="00000000" w:rsidRPr="00000000">
        <w:rPr>
          <w:rtl w:val="0"/>
        </w:rPr>
      </w:r>
    </w:p>
    <w:p w:rsidR="00000000" w:rsidDel="00000000" w:rsidP="00000000" w:rsidRDefault="00000000" w:rsidRPr="00000000" w14:paraId="0000004F">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Mailing address Line #1</w:t>
      </w:r>
    </w:p>
    <w:p w:rsidR="00000000" w:rsidDel="00000000" w:rsidP="00000000" w:rsidRDefault="00000000" w:rsidRPr="00000000" w14:paraId="00000050">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Mailing address Line ##2</w:t>
      </w:r>
    </w:p>
    <w:p w:rsidR="00000000" w:rsidDel="00000000" w:rsidP="00000000" w:rsidRDefault="00000000" w:rsidRPr="00000000" w14:paraId="00000051">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Email address(es) </w:t>
      </w:r>
    </w:p>
    <w:p w:rsidR="00000000" w:rsidDel="00000000" w:rsidP="00000000" w:rsidRDefault="00000000" w:rsidRPr="00000000" w14:paraId="00000052">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Tel: (XXX) XXX-XXXX</w:t>
      </w:r>
    </w:p>
    <w:p w:rsidR="00000000" w:rsidDel="00000000" w:rsidP="00000000" w:rsidRDefault="00000000" w:rsidRPr="00000000" w14:paraId="00000053">
      <w:pPr>
        <w:spacing w:line="240" w:lineRule="auto"/>
        <w:ind w:left="1080" w:hanging="360"/>
        <w:jc w:val="righ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Fax: (XXX) XXX-XXXX</w:t>
      </w:r>
    </w:p>
    <w:p w:rsidR="00000000" w:rsidDel="00000000" w:rsidP="00000000" w:rsidRDefault="00000000" w:rsidRPr="00000000" w14:paraId="0000005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Debtors in these Title III Cases, along with each Debtor’s respective Title III case number and the last four (4) digits of each Debtor’s federal tax identification number, as applicable, are the (i) Commonwealth of Puerto Rico (Bankruptcy Case No. 17 BK 3283-LTS) (Last Four Digits of Federal Tax ID: 3481); (ii) Puerto Rico Sales Tax Financing Corporation (“</w:t>
      </w:r>
      <w:r w:rsidDel="00000000" w:rsidR="00000000" w:rsidRPr="00000000">
        <w:rPr>
          <w:rFonts w:ascii="Times New Roman" w:cs="Times New Roman" w:eastAsia="Times New Roman" w:hAnsi="Times New Roman"/>
          <w:sz w:val="20"/>
          <w:szCs w:val="20"/>
          <w:u w:val="single"/>
          <w:rtl w:val="0"/>
        </w:rPr>
        <w:t xml:space="preserve">COFINA</w:t>
      </w:r>
      <w:r w:rsidDel="00000000" w:rsidR="00000000" w:rsidRPr="00000000">
        <w:rPr>
          <w:rFonts w:ascii="Times New Roman" w:cs="Times New Roman" w:eastAsia="Times New Roman" w:hAnsi="Times New Roman"/>
          <w:sz w:val="20"/>
          <w:szCs w:val="20"/>
          <w:rtl w:val="0"/>
        </w:rPr>
        <w:t xml:space="preserve">”) (Bankruptcy Case No. 17 BK 3284-LTS) (Last Four Digits of Federal Tax ID: 8474); (iii) Puerto Rico Highways and Transportation Authority (“</w:t>
      </w:r>
      <w:r w:rsidDel="00000000" w:rsidR="00000000" w:rsidRPr="00000000">
        <w:rPr>
          <w:rFonts w:ascii="Times New Roman" w:cs="Times New Roman" w:eastAsia="Times New Roman" w:hAnsi="Times New Roman"/>
          <w:sz w:val="20"/>
          <w:szCs w:val="20"/>
          <w:u w:val="single"/>
          <w:rtl w:val="0"/>
        </w:rPr>
        <w:t xml:space="preserve">HTA</w:t>
      </w:r>
      <w:r w:rsidDel="00000000" w:rsidR="00000000" w:rsidRPr="00000000">
        <w:rPr>
          <w:rFonts w:ascii="Times New Roman" w:cs="Times New Roman" w:eastAsia="Times New Roman" w:hAnsi="Times New Roman"/>
          <w:sz w:val="20"/>
          <w:szCs w:val="20"/>
          <w:rtl w:val="0"/>
        </w:rPr>
        <w:t xml:space="preserve">”) (Bankruptcy Case No. 17 BK 3567-LTS) (Last Four Digits of Federal Tax ID: 3808); (iv) Employees Retirement System of the Government of the Commonwealth of Puerto Rico (“</w:t>
      </w:r>
      <w:r w:rsidDel="00000000" w:rsidR="00000000" w:rsidRPr="00000000">
        <w:rPr>
          <w:rFonts w:ascii="Times New Roman" w:cs="Times New Roman" w:eastAsia="Times New Roman" w:hAnsi="Times New Roman"/>
          <w:sz w:val="20"/>
          <w:szCs w:val="20"/>
          <w:u w:val="single"/>
          <w:rtl w:val="0"/>
        </w:rPr>
        <w:t xml:space="preserve">ERS</w:t>
      </w:r>
      <w:r w:rsidDel="00000000" w:rsidR="00000000" w:rsidRPr="00000000">
        <w:rPr>
          <w:rFonts w:ascii="Times New Roman" w:cs="Times New Roman" w:eastAsia="Times New Roman" w:hAnsi="Times New Roman"/>
          <w:sz w:val="20"/>
          <w:szCs w:val="20"/>
          <w:rtl w:val="0"/>
        </w:rPr>
        <w:t xml:space="preserve">”) (Bankruptcy Case No. 17 BK 3566-LTS) (Last Four Digits of Federal Tax ID: 9686); and (v) Puerto Rico Electric Power Authority (“</w:t>
      </w:r>
      <w:r w:rsidDel="00000000" w:rsidR="00000000" w:rsidRPr="00000000">
        <w:rPr>
          <w:rFonts w:ascii="Times New Roman" w:cs="Times New Roman" w:eastAsia="Times New Roman" w:hAnsi="Times New Roman"/>
          <w:sz w:val="20"/>
          <w:szCs w:val="20"/>
          <w:u w:val="single"/>
          <w:rtl w:val="0"/>
        </w:rPr>
        <w:t xml:space="preserve">PREPA</w:t>
      </w:r>
      <w:r w:rsidDel="00000000" w:rsidR="00000000" w:rsidRPr="00000000">
        <w:rPr>
          <w:rFonts w:ascii="Times New Roman" w:cs="Times New Roman" w:eastAsia="Times New Roman" w:hAnsi="Times New Roman"/>
          <w:sz w:val="20"/>
          <w:szCs w:val="20"/>
          <w:rtl w:val="0"/>
        </w:rPr>
        <w:t xml:space="preserve">”) (Bankruptcy Case No. 17 BK 4780-LTS) (Last Four Digits of Federal Tax ID: 3747). (Title III case numbers are listed as Bankruptcy Case numbers due to software limitations.)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THE UNITED STATES BANKRUPTCY COURT</w:t>
      <w:br w:type="textWrapping"/>
      <w:t xml:space="preserve">FOR THE DISTRICT OF PUERTO RICO</w:t>
    </w:r>
  </w:p>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i w:val="0"/>
        <w:shd w:fill="auto" w:val="clear"/>
      </w:rPr>
    </w:lvl>
    <w:lvl w:ilvl="1">
      <w:start w:val="1"/>
      <w:numFmt w:val="lowerLetter"/>
      <w:lvlText w:val="%2."/>
      <w:lvlJc w:val="left"/>
      <w:pPr>
        <w:ind w:left="1080" w:hanging="360"/>
      </w:pPr>
      <w:rPr>
        <w:b w:val="0"/>
        <w:i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